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261"/>
        <w:gridCol w:w="3260"/>
        <w:gridCol w:w="2977"/>
        <w:gridCol w:w="2551"/>
      </w:tblGrid>
      <w:tr w:rsidR="00C27141" w:rsidRPr="00C27141" w14:paraId="736ACA7F" w14:textId="77777777" w:rsidTr="002E097D">
        <w:trPr>
          <w:trHeight w:val="349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28BA4" w14:textId="57FEE7ED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>Strategic aim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4078B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>HLO/MH/MS</w:t>
            </w: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5227B9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>Schools</w:t>
            </w: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AE84F" w14:textId="1B3E9F6D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>Hub partners</w:t>
            </w:r>
            <w:r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3EDB2A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b/>
                <w:bCs/>
                <w:color w:val="000000"/>
                <w:kern w:val="24"/>
                <w:lang w:eastAsia="en-GB"/>
                <w14:ligatures w14:val="none"/>
              </w:rPr>
              <w:t xml:space="preserve">External </w:t>
            </w:r>
          </w:p>
        </w:tc>
      </w:tr>
      <w:tr w:rsidR="00C27141" w:rsidRPr="00C27141" w14:paraId="686D343D" w14:textId="77777777" w:rsidTr="002E097D">
        <w:trPr>
          <w:trHeight w:val="788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E76E15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Every young person is encouraged and </w:t>
            </w:r>
            <w:proofErr w:type="gramStart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has the opportunity to</w:t>
            </w:r>
            <w:proofErr w:type="gramEnd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 compose and create music in school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716E2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5D495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95B54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218160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</w:tr>
      <w:tr w:rsidR="00C27141" w:rsidRPr="00C27141" w14:paraId="6626D1AA" w14:textId="77777777" w:rsidTr="002E097D">
        <w:trPr>
          <w:trHeight w:val="932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9E55F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Young people are encouraged and </w:t>
            </w:r>
            <w:proofErr w:type="gramStart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have the opportunity to</w:t>
            </w:r>
            <w:proofErr w:type="gramEnd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 compose and create music outside school. 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6145DB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C19BF3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8BEBA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09AC61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</w:tr>
      <w:tr w:rsidR="00C27141" w:rsidRPr="00C27141" w14:paraId="759FBFD8" w14:textId="77777777" w:rsidTr="002E097D">
        <w:trPr>
          <w:trHeight w:val="1224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64B15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Young people </w:t>
            </w:r>
            <w:proofErr w:type="gramStart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have the opportunity to</w:t>
            </w:r>
            <w:proofErr w:type="gramEnd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 compose and create music in different genres, cross-genre and no-genre and using instruments, voices and technologies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BB6D25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722D9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E0A2CB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D215EB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</w:tr>
      <w:tr w:rsidR="00C27141" w:rsidRPr="00C27141" w14:paraId="58C6420E" w14:textId="77777777" w:rsidTr="002E097D">
        <w:trPr>
          <w:trHeight w:val="932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FBBD5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Young people </w:t>
            </w:r>
            <w:proofErr w:type="gramStart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have the opportunity to</w:t>
            </w:r>
            <w:proofErr w:type="gramEnd"/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 compose for professional musicians and work with professional composers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57F53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23553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145E0A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685D0A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</w:tr>
      <w:tr w:rsidR="00C27141" w:rsidRPr="00C27141" w14:paraId="59B205C5" w14:textId="77777777" w:rsidTr="002E097D">
        <w:trPr>
          <w:trHeight w:val="1045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E0FE15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There are clear and signposted progression routes for young people that would like to compose – locally, regionally and nationally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805427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944EB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45C2D0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F7E6D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 </w:t>
            </w:r>
          </w:p>
        </w:tc>
      </w:tr>
      <w:tr w:rsidR="00C27141" w:rsidRPr="00C27141" w14:paraId="187D81CE" w14:textId="77777777" w:rsidTr="002E097D">
        <w:trPr>
          <w:trHeight w:val="1045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43F2B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Aptos" w:hAnsi="Aptos" w:cs="Times New Roman"/>
                <w:color w:val="000000"/>
                <w:kern w:val="24"/>
                <w:lang w:eastAsia="en-GB"/>
                <w14:ligatures w14:val="none"/>
              </w:rPr>
              <w:t>Appropriate resources (e.g. instruments, technology, teacher CPD) are allocated to support composing in and out of school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81DF9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2D2FD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52593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F6760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27141" w:rsidRPr="00C27141" w14:paraId="50DEDE09" w14:textId="77777777" w:rsidTr="002E097D">
        <w:trPr>
          <w:trHeight w:val="710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E96A98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High quality composing pedagogy and practice is promoted and developed, informed by research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AB1563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602FB9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3A99B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5E75EC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27141" w:rsidRPr="00C27141" w14:paraId="7470CBD4" w14:textId="77777777" w:rsidTr="002E097D">
        <w:trPr>
          <w:trHeight w:val="739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F8F06A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>There is a confident and skilled workforce for teaching composing and routes into this workforce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2BD0A0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EF53DA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0C835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BD7650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27141" w:rsidRPr="00C27141" w14:paraId="1BAB0C37" w14:textId="77777777" w:rsidTr="002E097D">
        <w:trPr>
          <w:trHeight w:val="531"/>
        </w:trPr>
        <w:tc>
          <w:tcPr>
            <w:tcW w:w="3392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486C18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7141">
              <w:rPr>
                <w:rFonts w:ascii="Aptos" w:eastAsia="Times New Roman" w:hAnsi="Aptos" w:cs="Arial"/>
                <w:color w:val="000000"/>
                <w:kern w:val="24"/>
                <w:lang w:eastAsia="en-GB"/>
                <w14:ligatures w14:val="none"/>
              </w:rPr>
              <w:t xml:space="preserve">Composing is promoted and celebrated as a key part of musical learning </w:t>
            </w:r>
          </w:p>
        </w:tc>
        <w:tc>
          <w:tcPr>
            <w:tcW w:w="326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6793BC" w14:textId="77777777" w:rsidR="00C27141" w:rsidRPr="00C27141" w:rsidRDefault="00C27141" w:rsidP="00C27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9B63EB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55194C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EC0953"/>
              <w:left w:val="single" w:sz="8" w:space="0" w:color="EC0953"/>
              <w:bottom w:val="single" w:sz="8" w:space="0" w:color="EC0953"/>
              <w:right w:val="single" w:sz="8" w:space="0" w:color="EC0953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B833E1" w14:textId="77777777" w:rsidR="00C27141" w:rsidRPr="00C27141" w:rsidRDefault="00C27141" w:rsidP="00C27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36D752F" w14:textId="77777777" w:rsidR="00012670" w:rsidRDefault="00012670"/>
    <w:sectPr w:rsidR="00012670" w:rsidSect="00C27141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41"/>
    <w:rsid w:val="00012670"/>
    <w:rsid w:val="002E097D"/>
    <w:rsid w:val="003C0660"/>
    <w:rsid w:val="00925604"/>
    <w:rsid w:val="00B6184C"/>
    <w:rsid w:val="00C2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0366"/>
  <w15:chartTrackingRefBased/>
  <w15:docId w15:val="{6AFE3863-5B9E-42B4-A75C-83D0F913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2</cp:revision>
  <dcterms:created xsi:type="dcterms:W3CDTF">2025-03-26T11:51:00Z</dcterms:created>
  <dcterms:modified xsi:type="dcterms:W3CDTF">2025-03-26T11:57:00Z</dcterms:modified>
</cp:coreProperties>
</file>